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E" w:rsidRPr="00F5518E" w:rsidRDefault="00F5518E" w:rsidP="000D1DF4">
      <w:pPr>
        <w:ind w:firstLine="0"/>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0F1EE2" w:rsidP="00F5518E">
      <w:pPr>
        <w:jc w:val="center"/>
        <w:rPr>
          <w:rFonts w:ascii="Times New Roman" w:hAnsi="Times New Roman"/>
          <w:b/>
          <w:sz w:val="28"/>
          <w:szCs w:val="28"/>
        </w:rPr>
      </w:pPr>
      <w:r>
        <w:rPr>
          <w:rFonts w:ascii="Times New Roman" w:hAnsi="Times New Roman"/>
          <w:b/>
          <w:sz w:val="28"/>
          <w:szCs w:val="28"/>
        </w:rPr>
        <w:t>ЗАЛУЖЕНСКОГО</w:t>
      </w:r>
      <w:r w:rsidR="00F5518E" w:rsidRPr="00F5518E">
        <w:rPr>
          <w:rFonts w:ascii="Times New Roman" w:hAnsi="Times New Roman"/>
          <w:b/>
          <w:sz w:val="28"/>
          <w:szCs w:val="28"/>
        </w:rPr>
        <w:t xml:space="preserve">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0D1DF4"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w:t>
      </w:r>
      <w:r w:rsidRPr="000D1DF4">
        <w:rPr>
          <w:rFonts w:ascii="Times New Roman" w:hAnsi="Times New Roman"/>
          <w:b/>
          <w:color w:val="000000"/>
          <w:spacing w:val="-4"/>
          <w:sz w:val="28"/>
          <w:szCs w:val="28"/>
          <w:u w:val="single"/>
          <w:lang w:eastAsia="ar-SA"/>
        </w:rPr>
        <w:t>27</w:t>
      </w:r>
      <w:r>
        <w:rPr>
          <w:rFonts w:ascii="Times New Roman" w:hAnsi="Times New Roman"/>
          <w:b/>
          <w:color w:val="000000"/>
          <w:spacing w:val="-4"/>
          <w:sz w:val="28"/>
          <w:szCs w:val="28"/>
          <w:u w:val="single"/>
          <w:lang w:eastAsia="ar-SA"/>
        </w:rPr>
        <w:t>.11.2023</w:t>
      </w:r>
      <w:r w:rsidR="00F5518E" w:rsidRPr="00F5518E">
        <w:rPr>
          <w:rFonts w:ascii="Times New Roman" w:hAnsi="Times New Roman"/>
          <w:b/>
          <w:bCs/>
          <w:color w:val="000000"/>
          <w:spacing w:val="-4"/>
          <w:sz w:val="28"/>
          <w:szCs w:val="28"/>
          <w:u w:val="single"/>
          <w:lang w:eastAsia="ar-SA"/>
        </w:rPr>
        <w:t xml:space="preserve">   г.</w:t>
      </w:r>
      <w:r>
        <w:rPr>
          <w:rFonts w:ascii="Times New Roman" w:hAnsi="Times New Roman"/>
          <w:b/>
          <w:bCs/>
          <w:color w:val="000000"/>
          <w:spacing w:val="-4"/>
          <w:sz w:val="28"/>
          <w:szCs w:val="28"/>
          <w:lang w:eastAsia="ar-SA"/>
        </w:rPr>
        <w:t xml:space="preserve"> </w:t>
      </w:r>
      <w:r w:rsidR="00F5518E" w:rsidRPr="00F5518E">
        <w:rPr>
          <w:rFonts w:ascii="Times New Roman" w:hAnsi="Times New Roman"/>
          <w:b/>
          <w:bCs/>
          <w:color w:val="000000"/>
          <w:spacing w:val="-4"/>
          <w:sz w:val="28"/>
          <w:szCs w:val="28"/>
          <w:lang w:eastAsia="ar-SA"/>
        </w:rPr>
        <w:t xml:space="preserve">  № </w:t>
      </w:r>
      <w:r w:rsidR="00E31ABA">
        <w:rPr>
          <w:rFonts w:ascii="Times New Roman" w:hAnsi="Times New Roman"/>
          <w:b/>
          <w:bCs/>
          <w:color w:val="000000"/>
          <w:spacing w:val="-4"/>
          <w:sz w:val="28"/>
          <w:szCs w:val="28"/>
          <w:u w:val="single"/>
          <w:lang w:eastAsia="ar-SA"/>
        </w:rPr>
        <w:t xml:space="preserve"> 202</w:t>
      </w:r>
      <w:r w:rsidR="00F5518E" w:rsidRPr="00F5518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5518E" w:rsidRPr="00F5518E" w:rsidTr="00F5518E">
        <w:trPr>
          <w:trHeight w:val="218"/>
        </w:trPr>
        <w:tc>
          <w:tcPr>
            <w:tcW w:w="6400" w:type="dxa"/>
          </w:tcPr>
          <w:p w:rsidR="00F5518E" w:rsidRPr="00F5518E" w:rsidRDefault="000F1EE2" w:rsidP="000D1DF4">
            <w:pPr>
              <w:snapToGrid w:val="0"/>
              <w:ind w:right="-3941"/>
              <w:rPr>
                <w:rFonts w:ascii="Times New Roman" w:hAnsi="Times New Roman"/>
                <w:sz w:val="28"/>
                <w:szCs w:val="28"/>
              </w:rPr>
            </w:pPr>
            <w:r>
              <w:rPr>
                <w:rFonts w:ascii="Times New Roman" w:hAnsi="Times New Roman"/>
                <w:sz w:val="28"/>
                <w:szCs w:val="28"/>
              </w:rPr>
              <w:t>с. Залужное</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0F1EE2">
        <w:rPr>
          <w:rFonts w:ascii="Times New Roman" w:hAnsi="Times New Roman" w:cs="Times New Roman"/>
          <w:sz w:val="28"/>
          <w:szCs w:val="28"/>
        </w:rPr>
        <w:t>Залуженского</w:t>
      </w:r>
      <w:r w:rsidR="00F5518E">
        <w:rPr>
          <w:rFonts w:ascii="Times New Roman" w:hAnsi="Times New Roman" w:cs="Times New Roman"/>
          <w:sz w:val="28"/>
          <w:szCs w:val="28"/>
        </w:rPr>
        <w:t xml:space="preserve"> </w:t>
      </w:r>
      <w:r w:rsidR="00FE4048">
        <w:rPr>
          <w:rFonts w:ascii="Times New Roman" w:hAnsi="Times New Roman" w:cs="Times New Roman"/>
          <w:sz w:val="28"/>
          <w:szCs w:val="28"/>
        </w:rPr>
        <w:t>сельского</w:t>
      </w:r>
      <w:r w:rsidRPr="00EE0BAD">
        <w:rPr>
          <w:rFonts w:ascii="Times New Roman" w:hAnsi="Times New Roman" w:cs="Times New Roman"/>
          <w:sz w:val="28"/>
          <w:szCs w:val="28"/>
        </w:rPr>
        <w:t xml:space="preserve">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F1EE2">
        <w:rPr>
          <w:rFonts w:ascii="Times New Roman" w:hAnsi="Times New Roman"/>
          <w:sz w:val="28"/>
          <w:szCs w:val="28"/>
        </w:rPr>
        <w:t>Залуженского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0F1EE2">
        <w:rPr>
          <w:rFonts w:ascii="Times New Roman" w:hAnsi="Times New Roman"/>
          <w:sz w:val="28"/>
          <w:szCs w:val="28"/>
        </w:rPr>
        <w:t>Залуженского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r w:rsidR="00F5518E" w:rsidRPr="00F5518E">
        <w:rPr>
          <w:rFonts w:ascii="Times New Roman" w:hAnsi="Times New Roman"/>
          <w:b/>
          <w:sz w:val="28"/>
          <w:szCs w:val="28"/>
        </w:rPr>
        <w:t>п</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с</w:t>
      </w:r>
      <w:r w:rsidR="00F5518E">
        <w:rPr>
          <w:rFonts w:ascii="Times New Roman" w:hAnsi="Times New Roman"/>
          <w:b/>
          <w:sz w:val="28"/>
          <w:szCs w:val="28"/>
        </w:rPr>
        <w:t xml:space="preserve"> </w:t>
      </w:r>
      <w:r w:rsidR="00F5518E" w:rsidRPr="00F5518E">
        <w:rPr>
          <w:rFonts w:ascii="Times New Roman" w:hAnsi="Times New Roman"/>
          <w:b/>
          <w:sz w:val="28"/>
          <w:szCs w:val="28"/>
        </w:rPr>
        <w:t>т</w:t>
      </w:r>
      <w:r w:rsidR="00F5518E">
        <w:rPr>
          <w:rFonts w:ascii="Times New Roman" w:hAnsi="Times New Roman"/>
          <w:b/>
          <w:sz w:val="28"/>
          <w:szCs w:val="28"/>
        </w:rPr>
        <w:t xml:space="preserve"> </w:t>
      </w:r>
      <w:r w:rsidR="00F5518E" w:rsidRPr="00F5518E">
        <w:rPr>
          <w:rFonts w:ascii="Times New Roman" w:hAnsi="Times New Roman"/>
          <w:b/>
          <w:sz w:val="28"/>
          <w:szCs w:val="28"/>
        </w:rPr>
        <w:t>а</w:t>
      </w:r>
      <w:r w:rsidR="00F5518E">
        <w:rPr>
          <w:rFonts w:ascii="Times New Roman" w:hAnsi="Times New Roman"/>
          <w:b/>
          <w:sz w:val="28"/>
          <w:szCs w:val="28"/>
        </w:rPr>
        <w:t xml:space="preserve"> </w:t>
      </w:r>
      <w:r w:rsidR="00F5518E" w:rsidRPr="00F5518E">
        <w:rPr>
          <w:rFonts w:ascii="Times New Roman" w:hAnsi="Times New Roman"/>
          <w:b/>
          <w:sz w:val="28"/>
          <w:szCs w:val="28"/>
        </w:rPr>
        <w:t>н</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в</w:t>
      </w:r>
      <w:r w:rsidR="00F5518E">
        <w:rPr>
          <w:rFonts w:ascii="Times New Roman" w:hAnsi="Times New Roman"/>
          <w:b/>
          <w:sz w:val="28"/>
          <w:szCs w:val="28"/>
        </w:rPr>
        <w:t xml:space="preserve"> </w:t>
      </w:r>
      <w:r w:rsidR="00F5518E" w:rsidRPr="00F5518E">
        <w:rPr>
          <w:rFonts w:ascii="Times New Roman" w:hAnsi="Times New Roman"/>
          <w:b/>
          <w:sz w:val="28"/>
          <w:szCs w:val="28"/>
        </w:rPr>
        <w:t>л</w:t>
      </w:r>
      <w:r w:rsidR="00F5518E">
        <w:rPr>
          <w:rFonts w:ascii="Times New Roman" w:hAnsi="Times New Roman"/>
          <w:b/>
          <w:sz w:val="28"/>
          <w:szCs w:val="28"/>
        </w:rPr>
        <w:t xml:space="preserve"> </w:t>
      </w:r>
      <w:r w:rsidR="00F5518E" w:rsidRPr="00F5518E">
        <w:rPr>
          <w:rFonts w:ascii="Times New Roman" w:hAnsi="Times New Roman"/>
          <w:b/>
          <w:sz w:val="28"/>
          <w:szCs w:val="28"/>
        </w:rPr>
        <w:t>я</w:t>
      </w:r>
      <w:r w:rsidR="00F5518E">
        <w:rPr>
          <w:rFonts w:ascii="Times New Roman" w:hAnsi="Times New Roman"/>
          <w:b/>
          <w:sz w:val="28"/>
          <w:szCs w:val="28"/>
        </w:rPr>
        <w:t xml:space="preserve"> </w:t>
      </w:r>
      <w:r w:rsidR="00F5518E" w:rsidRPr="00F5518E">
        <w:rPr>
          <w:rFonts w:ascii="Times New Roman" w:hAnsi="Times New Roman"/>
          <w:b/>
          <w:sz w:val="28"/>
          <w:szCs w:val="28"/>
        </w:rPr>
        <w:t>е</w:t>
      </w:r>
      <w:r w:rsidR="00F5518E">
        <w:rPr>
          <w:rFonts w:ascii="Times New Roman" w:hAnsi="Times New Roman"/>
          <w:b/>
          <w:sz w:val="28"/>
          <w:szCs w:val="28"/>
        </w:rPr>
        <w:t xml:space="preserve"> </w:t>
      </w:r>
      <w:r w:rsidR="00F5518E" w:rsidRPr="00F5518E">
        <w:rPr>
          <w:rFonts w:ascii="Times New Roman" w:hAnsi="Times New Roman"/>
          <w:b/>
          <w:sz w:val="28"/>
          <w:szCs w:val="28"/>
        </w:rPr>
        <w:t>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F1EE2">
        <w:rPr>
          <w:rFonts w:ascii="Times New Roman" w:hAnsi="Times New Roman"/>
          <w:sz w:val="28"/>
          <w:szCs w:val="28"/>
        </w:rPr>
        <w:t>Залуженского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0F1EE2" w:rsidP="00854EF6">
      <w:pPr>
        <w:rPr>
          <w:rFonts w:ascii="Times New Roman" w:hAnsi="Times New Roman"/>
          <w:sz w:val="28"/>
          <w:szCs w:val="28"/>
        </w:rPr>
      </w:pPr>
      <w:r>
        <w:rPr>
          <w:rFonts w:ascii="Times New Roman" w:hAnsi="Times New Roman"/>
          <w:sz w:val="28"/>
          <w:szCs w:val="28"/>
        </w:rPr>
        <w:t>2. Признать утратившим</w:t>
      </w:r>
      <w:r w:rsidR="00F7504A" w:rsidRPr="00854EF6">
        <w:rPr>
          <w:rFonts w:ascii="Times New Roman" w:hAnsi="Times New Roman"/>
          <w:sz w:val="28"/>
          <w:szCs w:val="28"/>
        </w:rPr>
        <w:t xml:space="preserve"> силу постановлени</w:t>
      </w:r>
      <w:r>
        <w:rPr>
          <w:rFonts w:ascii="Times New Roman" w:hAnsi="Times New Roman"/>
          <w:sz w:val="28"/>
          <w:szCs w:val="28"/>
        </w:rPr>
        <w:t>е</w:t>
      </w:r>
      <w:r w:rsidR="00F7504A" w:rsidRPr="00854EF6">
        <w:rPr>
          <w:rFonts w:ascii="Times New Roman" w:hAnsi="Times New Roman"/>
          <w:sz w:val="28"/>
          <w:szCs w:val="28"/>
        </w:rPr>
        <w:t xml:space="preserve"> администрации </w:t>
      </w:r>
      <w:r>
        <w:rPr>
          <w:rFonts w:ascii="Times New Roman" w:hAnsi="Times New Roman"/>
          <w:sz w:val="28"/>
          <w:szCs w:val="28"/>
        </w:rPr>
        <w:t>Залуженского</w:t>
      </w:r>
      <w:r w:rsidR="00E572F4">
        <w:rPr>
          <w:rFonts w:ascii="Times New Roman" w:hAnsi="Times New Roman"/>
          <w:sz w:val="28"/>
          <w:szCs w:val="28"/>
        </w:rPr>
        <w:t xml:space="preserve"> </w:t>
      </w:r>
      <w:r w:rsidR="00F7504A"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00F7504A"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t xml:space="preserve">- </w:t>
      </w:r>
      <w:r w:rsidR="00F7504A" w:rsidRPr="00854EF6">
        <w:t xml:space="preserve">от </w:t>
      </w:r>
      <w:r w:rsidR="000F1EE2">
        <w:t>25 июля 2016 г. № 144</w:t>
      </w:r>
      <w:r w:rsidR="00986C8C">
        <w:t xml:space="preserve"> </w:t>
      </w:r>
      <w:r w:rsidR="00F7504A" w:rsidRPr="00854EF6">
        <w:t xml:space="preserve"> «</w:t>
      </w:r>
      <w:r w:rsidR="00986C8C" w:rsidRPr="00986C8C">
        <w:t xml:space="preserve">Об  утверждении  административного регламента  администрации </w:t>
      </w:r>
      <w:r w:rsidR="000F1EE2">
        <w:t>Залуженского</w:t>
      </w:r>
      <w:r w:rsidR="00986C8C" w:rsidRPr="00986C8C">
        <w:t xml:space="preserve"> сельского поселения Лискинского </w:t>
      </w:r>
      <w:r w:rsidR="00986C8C" w:rsidRPr="00986C8C">
        <w:lastRenderedPageBreak/>
        <w:t xml:space="preserve">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0F1EE2">
        <w:rPr>
          <w:rFonts w:ascii="Times New Roman" w:hAnsi="Times New Roman"/>
          <w:sz w:val="28"/>
          <w:szCs w:val="28"/>
        </w:rPr>
        <w:t>Залуженского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F1EE2">
        <w:rPr>
          <w:rFonts w:ascii="Times New Roman" w:hAnsi="Times New Roman"/>
          <w:sz w:val="28"/>
          <w:szCs w:val="28"/>
        </w:rPr>
        <w:t>И.И. Блинова</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DF4" w:rsidRPr="002359ED" w:rsidRDefault="000D1DF4" w:rsidP="00986C8C">
                            <w:pPr>
                              <w:pStyle w:val="a8"/>
                              <w:jc w:val="center"/>
                              <w:rPr>
                                <w:rStyle w:val="20"/>
                                <w:b w:val="0"/>
                              </w:rPr>
                            </w:pPr>
                            <w:r w:rsidRPr="002359ED">
                              <w:t>Приложение</w:t>
                            </w:r>
                          </w:p>
                          <w:p w:rsidR="000D1DF4" w:rsidRPr="00841DAD" w:rsidRDefault="000D1DF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D1DF4" w:rsidRPr="002359ED" w:rsidRDefault="000D1DF4" w:rsidP="00986C8C">
                            <w:pPr>
                              <w:pStyle w:val="a8"/>
                              <w:jc w:val="center"/>
                            </w:pPr>
                            <w:r>
                              <w:t>Залуженского</w:t>
                            </w:r>
                            <w:r w:rsidRPr="002359ED">
                              <w:t xml:space="preserve"> сельского поселения</w:t>
                            </w:r>
                          </w:p>
                          <w:p w:rsidR="000D1DF4" w:rsidRPr="002359ED" w:rsidRDefault="000D1DF4" w:rsidP="00986C8C">
                            <w:pPr>
                              <w:pStyle w:val="a8"/>
                              <w:jc w:val="center"/>
                            </w:pPr>
                            <w:r w:rsidRPr="002359ED">
                              <w:t>Лискинского муниципального района</w:t>
                            </w:r>
                          </w:p>
                          <w:p w:rsidR="000D1DF4" w:rsidRPr="002359ED" w:rsidRDefault="000D1DF4" w:rsidP="00986C8C">
                            <w:pPr>
                              <w:pStyle w:val="a8"/>
                              <w:jc w:val="center"/>
                              <w:rPr>
                                <w:rStyle w:val="20"/>
                                <w:b w:val="0"/>
                              </w:rPr>
                            </w:pPr>
                            <w:r w:rsidRPr="002359ED">
                              <w:t>Воронежской области</w:t>
                            </w:r>
                          </w:p>
                          <w:p w:rsidR="000D1DF4" w:rsidRPr="002359ED" w:rsidRDefault="000D1DF4" w:rsidP="00986C8C">
                            <w:pPr>
                              <w:pStyle w:val="a8"/>
                              <w:jc w:val="center"/>
                            </w:pPr>
                            <w:r>
                              <w:t>о</w:t>
                            </w:r>
                            <w:r w:rsidRPr="002359ED">
                              <w:t>т</w:t>
                            </w:r>
                            <w:r>
                              <w:t xml:space="preserve"> 27.11.2023 г.</w:t>
                            </w:r>
                            <w:r w:rsidRPr="002359ED">
                              <w:t xml:space="preserve"> № </w:t>
                            </w:r>
                            <w:r w:rsidR="00E31ABA">
                              <w:t>202</w:t>
                            </w:r>
                            <w:bookmarkStart w:id="0" w:name="_GoBack"/>
                            <w:bookmarkEnd w:id="0"/>
                            <w:r w:rsidRPr="002359ED">
                              <w:br/>
                            </w:r>
                          </w:p>
                          <w:p w:rsidR="000D1DF4" w:rsidRDefault="000D1DF4" w:rsidP="00986C8C">
                            <w:pPr>
                              <w:spacing w:line="263" w:lineRule="atLeast"/>
                              <w:jc w:val="center"/>
                              <w:rPr>
                                <w:rFonts w:ascii="Tahoma" w:hAnsi="Tahoma" w:cs="Tahoma"/>
                                <w:color w:val="1E1E1E"/>
                              </w:rPr>
                            </w:pPr>
                          </w:p>
                          <w:p w:rsidR="000D1DF4" w:rsidRDefault="000D1DF4" w:rsidP="00986C8C">
                            <w:pPr>
                              <w:spacing w:line="263" w:lineRule="atLeast"/>
                              <w:jc w:val="center"/>
                              <w:rPr>
                                <w:rFonts w:ascii="Tahoma" w:hAnsi="Tahoma" w:cs="Tahoma"/>
                                <w:color w:val="1E1E1E"/>
                              </w:rPr>
                            </w:pPr>
                          </w:p>
                          <w:p w:rsidR="000D1DF4" w:rsidRPr="008F3661"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r>
                              <w:rPr>
                                <w:rFonts w:ascii="Calibri" w:hAnsi="Calibri"/>
                              </w:rPr>
                              <w:t>Е.А. Буйволовой</w:t>
                            </w:r>
                          </w:p>
                          <w:p w:rsidR="000D1DF4" w:rsidRDefault="000D1DF4" w:rsidP="00986C8C">
                            <w:pPr>
                              <w:jc w:val="center"/>
                              <w:rPr>
                                <w:rFonts w:ascii="Calibri" w:hAnsi="Calibri"/>
                              </w:rPr>
                            </w:pPr>
                          </w:p>
                          <w:p w:rsidR="000D1DF4" w:rsidRDefault="000D1DF4"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0D1DF4" w:rsidRPr="002359ED" w:rsidRDefault="000D1DF4" w:rsidP="00986C8C">
                      <w:pPr>
                        <w:pStyle w:val="a8"/>
                        <w:jc w:val="center"/>
                        <w:rPr>
                          <w:rStyle w:val="20"/>
                          <w:b w:val="0"/>
                        </w:rPr>
                      </w:pPr>
                      <w:r w:rsidRPr="002359ED">
                        <w:t>Приложение</w:t>
                      </w:r>
                    </w:p>
                    <w:p w:rsidR="000D1DF4" w:rsidRPr="00841DAD" w:rsidRDefault="000D1DF4"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D1DF4" w:rsidRPr="002359ED" w:rsidRDefault="000D1DF4" w:rsidP="00986C8C">
                      <w:pPr>
                        <w:pStyle w:val="a8"/>
                        <w:jc w:val="center"/>
                      </w:pPr>
                      <w:r>
                        <w:t>Залуженского</w:t>
                      </w:r>
                      <w:r w:rsidRPr="002359ED">
                        <w:t xml:space="preserve"> сельского поселения</w:t>
                      </w:r>
                    </w:p>
                    <w:p w:rsidR="000D1DF4" w:rsidRPr="002359ED" w:rsidRDefault="000D1DF4" w:rsidP="00986C8C">
                      <w:pPr>
                        <w:pStyle w:val="a8"/>
                        <w:jc w:val="center"/>
                      </w:pPr>
                      <w:r w:rsidRPr="002359ED">
                        <w:t>Лискинского муниципального района</w:t>
                      </w:r>
                    </w:p>
                    <w:p w:rsidR="000D1DF4" w:rsidRPr="002359ED" w:rsidRDefault="000D1DF4" w:rsidP="00986C8C">
                      <w:pPr>
                        <w:pStyle w:val="a8"/>
                        <w:jc w:val="center"/>
                        <w:rPr>
                          <w:rStyle w:val="20"/>
                          <w:b w:val="0"/>
                        </w:rPr>
                      </w:pPr>
                      <w:r w:rsidRPr="002359ED">
                        <w:t>Воронежской области</w:t>
                      </w:r>
                    </w:p>
                    <w:p w:rsidR="000D1DF4" w:rsidRPr="002359ED" w:rsidRDefault="000D1DF4" w:rsidP="00986C8C">
                      <w:pPr>
                        <w:pStyle w:val="a8"/>
                        <w:jc w:val="center"/>
                      </w:pPr>
                      <w:r>
                        <w:t>о</w:t>
                      </w:r>
                      <w:r w:rsidRPr="002359ED">
                        <w:t>т</w:t>
                      </w:r>
                      <w:r>
                        <w:t xml:space="preserve"> 27.11.2023 г.</w:t>
                      </w:r>
                      <w:r w:rsidRPr="002359ED">
                        <w:t xml:space="preserve"> № </w:t>
                      </w:r>
                      <w:r w:rsidR="00E31ABA">
                        <w:t>202</w:t>
                      </w:r>
                      <w:bookmarkStart w:id="1" w:name="_GoBack"/>
                      <w:bookmarkEnd w:id="1"/>
                      <w:r w:rsidRPr="002359ED">
                        <w:br/>
                      </w:r>
                    </w:p>
                    <w:p w:rsidR="000D1DF4" w:rsidRDefault="000D1DF4" w:rsidP="00986C8C">
                      <w:pPr>
                        <w:spacing w:line="263" w:lineRule="atLeast"/>
                        <w:jc w:val="center"/>
                        <w:rPr>
                          <w:rFonts w:ascii="Tahoma" w:hAnsi="Tahoma" w:cs="Tahoma"/>
                          <w:color w:val="1E1E1E"/>
                        </w:rPr>
                      </w:pPr>
                    </w:p>
                    <w:p w:rsidR="000D1DF4" w:rsidRDefault="000D1DF4" w:rsidP="00986C8C">
                      <w:pPr>
                        <w:spacing w:line="263" w:lineRule="atLeast"/>
                        <w:jc w:val="center"/>
                        <w:rPr>
                          <w:rFonts w:ascii="Tahoma" w:hAnsi="Tahoma" w:cs="Tahoma"/>
                          <w:color w:val="1E1E1E"/>
                        </w:rPr>
                      </w:pPr>
                    </w:p>
                    <w:p w:rsidR="000D1DF4" w:rsidRPr="008F3661"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p>
                    <w:p w:rsidR="000D1DF4" w:rsidRDefault="000D1DF4" w:rsidP="00986C8C">
                      <w:pPr>
                        <w:jc w:val="center"/>
                        <w:rPr>
                          <w:rFonts w:ascii="Calibri" w:hAnsi="Calibri"/>
                        </w:rPr>
                      </w:pPr>
                      <w:r>
                        <w:rPr>
                          <w:rFonts w:ascii="Calibri" w:hAnsi="Calibri"/>
                        </w:rPr>
                        <w:t>Е.А. Буйволовой</w:t>
                      </w:r>
                    </w:p>
                    <w:p w:rsidR="000D1DF4" w:rsidRDefault="000D1DF4" w:rsidP="00986C8C">
                      <w:pPr>
                        <w:jc w:val="center"/>
                        <w:rPr>
                          <w:rFonts w:ascii="Calibri" w:hAnsi="Calibri"/>
                        </w:rPr>
                      </w:pPr>
                    </w:p>
                    <w:p w:rsidR="000D1DF4" w:rsidRDefault="000D1DF4"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0F1EE2">
        <w:rPr>
          <w:i w:val="0"/>
          <w:sz w:val="28"/>
          <w:szCs w:val="28"/>
        </w:rPr>
        <w:t>Залуженского</w:t>
      </w:r>
      <w:r w:rsidR="00986C8C">
        <w:rPr>
          <w:i w:val="0"/>
          <w:sz w:val="28"/>
          <w:szCs w:val="28"/>
        </w:rPr>
        <w:t xml:space="preserve"> </w:t>
      </w:r>
      <w:r w:rsidRPr="00582FEE">
        <w:rPr>
          <w:i w:val="0"/>
          <w:sz w:val="28"/>
          <w:szCs w:val="28"/>
        </w:rPr>
        <w:t>сельского поселения</w:t>
      </w:r>
      <w:r w:rsidR="000E072B">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0F1EE2">
        <w:rPr>
          <w:rFonts w:ascii="Times New Roman" w:hAnsi="Times New Roman"/>
          <w:sz w:val="28"/>
          <w:szCs w:val="28"/>
        </w:rPr>
        <w:t>Залуженского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0F1EE2">
        <w:rPr>
          <w:rFonts w:ascii="Times New Roman" w:hAnsi="Times New Roman"/>
          <w:sz w:val="28"/>
          <w:szCs w:val="28"/>
        </w:rPr>
        <w:t>Залуженского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0F1EE2">
        <w:rPr>
          <w:rFonts w:ascii="Times New Roman" w:hAnsi="Times New Roman"/>
          <w:sz w:val="28"/>
          <w:szCs w:val="28"/>
        </w:rPr>
        <w:t>Залуженского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B36E0">
      <w:pPr>
        <w:rPr>
          <w:spacing w:val="7"/>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На официальном сайте Администрации (</w:t>
      </w:r>
      <w:hyperlink r:id="rId8" w:history="1">
        <w:r w:rsidR="00501B35" w:rsidRPr="000D1DF4">
          <w:rPr>
            <w:rStyle w:val="af"/>
            <w:rFonts w:ascii="Times New Roman" w:hAnsi="Times New Roman"/>
            <w:sz w:val="28"/>
            <w:szCs w:val="28"/>
          </w:rPr>
          <w:t>https:/</w:t>
        </w:r>
        <w:r w:rsidR="00501B35" w:rsidRPr="000D1DF4">
          <w:rPr>
            <w:rFonts w:ascii="Times New Roman" w:hAnsi="Times New Roman"/>
            <w:sz w:val="28"/>
            <w:szCs w:val="28"/>
          </w:rPr>
          <w:t xml:space="preserve"> </w:t>
        </w:r>
        <w:hyperlink r:id="rId9" w:tgtFrame="_blank" w:history="1">
          <w:r w:rsidR="00501B35" w:rsidRPr="000D1DF4">
            <w:rPr>
              <w:rStyle w:val="af"/>
              <w:rFonts w:ascii="Times New Roman" w:hAnsi="Times New Roman"/>
              <w:bCs/>
              <w:sz w:val="28"/>
              <w:szCs w:val="28"/>
              <w:shd w:val="clear" w:color="auto" w:fill="FFFFFF"/>
            </w:rPr>
            <w:t>zaluzhenskoe-r20.gosweb.gosuslugi.ru</w:t>
          </w:r>
        </w:hyperlink>
        <w:r w:rsidR="00501B35" w:rsidRPr="000D1DF4">
          <w:rPr>
            <w:rStyle w:val="af"/>
            <w:rFonts w:ascii="Times New Roman" w:hAnsi="Times New Roman"/>
            <w:sz w:val="28"/>
            <w:szCs w:val="28"/>
          </w:rPr>
          <w:t>/</w:t>
        </w:r>
      </w:hyperlink>
      <w:r w:rsidR="00501B35" w:rsidRPr="000D1DF4">
        <w:rPr>
          <w:rFonts w:ascii="Times New Roman" w:hAnsi="Times New Roman"/>
          <w:spacing w:val="7"/>
          <w:sz w:val="28"/>
          <w:szCs w:val="28"/>
        </w:rPr>
        <w:t>)</w:t>
      </w:r>
    </w:p>
    <w:p w:rsidR="00F7504A" w:rsidRPr="00854EF6" w:rsidRDefault="004B36E0" w:rsidP="004B36E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10"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0D1DF4">
        <w:rPr>
          <w:rFonts w:ascii="Times New Roman" w:hAnsi="Times New Roman"/>
          <w:sz w:val="28"/>
          <w:szCs w:val="28"/>
        </w:rPr>
        <w:t>Залуженского сельского поселения Лискинского</w:t>
      </w:r>
      <w:r w:rsidRPr="00FE4AFA">
        <w:rPr>
          <w:rFonts w:ascii="Times New Roman" w:hAnsi="Times New Roman"/>
          <w:sz w:val="28"/>
          <w:szCs w:val="28"/>
        </w:rPr>
        <w:t xml:space="preserve"> муниципал</w:t>
      </w:r>
      <w:r w:rsidR="000D1DF4">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0D1DF4">
        <w:rPr>
          <w:rFonts w:ascii="Times New Roman" w:hAnsi="Times New Roman"/>
          <w:sz w:val="28"/>
          <w:szCs w:val="28"/>
        </w:rPr>
        <w:t>постановлением администрации Залуженского сельского поселения Лискинского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0D1DF4">
        <w:rPr>
          <w:rFonts w:ascii="Times New Roman" w:hAnsi="Times New Roman"/>
          <w:sz w:val="28"/>
          <w:szCs w:val="28"/>
        </w:rPr>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F402B9">
        <w:rPr>
          <w:rFonts w:ascii="Times New Roman" w:hAnsi="Times New Roman"/>
          <w:sz w:val="28"/>
          <w:szCs w:val="28"/>
        </w:rPr>
        <w:t>Залуженского сельского</w:t>
      </w:r>
      <w:r w:rsidR="00227BE2" w:rsidRPr="001A6F9B">
        <w:rPr>
          <w:rFonts w:ascii="Times New Roman" w:hAnsi="Times New Roman"/>
          <w:sz w:val="28"/>
          <w:szCs w:val="28"/>
        </w:rPr>
        <w:t xml:space="preserve"> поселения</w:t>
      </w:r>
      <w:r w:rsidR="00F402B9">
        <w:rPr>
          <w:rFonts w:ascii="Times New Roman" w:hAnsi="Times New Roman"/>
          <w:sz w:val="28"/>
          <w:szCs w:val="28"/>
        </w:rPr>
        <w:t xml:space="preserve"> Лискинского</w:t>
      </w:r>
      <w:r w:rsidR="00227BE2" w:rsidRPr="001A6F9B">
        <w:rPr>
          <w:rFonts w:ascii="Times New Roman" w:hAnsi="Times New Roman"/>
          <w:sz w:val="28"/>
          <w:szCs w:val="28"/>
        </w:rPr>
        <w:t xml:space="preserve"> муниципал</w:t>
      </w:r>
      <w:r w:rsidR="00F402B9">
        <w:rPr>
          <w:rFonts w:ascii="Times New Roman" w:hAnsi="Times New Roman"/>
          <w:sz w:val="28"/>
          <w:szCs w:val="28"/>
        </w:rPr>
        <w:t xml:space="preserve">ьного района </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F402B9">
        <w:rPr>
          <w:rFonts w:ascii="Times New Roman" w:hAnsi="Times New Roman"/>
          <w:sz w:val="28"/>
          <w:szCs w:val="28"/>
        </w:rPr>
        <w:t>Залуженского сельского поселения Лискинского</w:t>
      </w:r>
      <w:r w:rsidRPr="00D46FE5">
        <w:rPr>
          <w:rFonts w:ascii="Times New Roman" w:hAnsi="Times New Roman"/>
          <w:sz w:val="28"/>
          <w:szCs w:val="28"/>
        </w:rPr>
        <w:t xml:space="preserve"> муниципал</w:t>
      </w:r>
      <w:r w:rsidR="00F402B9">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F402B9">
        <w:rPr>
          <w:rFonts w:ascii="Times New Roman" w:hAnsi="Times New Roman"/>
          <w:sz w:val="28"/>
          <w:szCs w:val="28"/>
        </w:rPr>
        <w:t>Залуженского сельского поселения Лискинского</w:t>
      </w:r>
      <w:r w:rsidRPr="00D46FE5">
        <w:rPr>
          <w:rFonts w:ascii="Times New Roman" w:hAnsi="Times New Roman"/>
          <w:sz w:val="28"/>
          <w:szCs w:val="28"/>
        </w:rPr>
        <w:t xml:space="preserve"> муниципал</w:t>
      </w:r>
      <w:r w:rsidR="00F402B9">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F402B9">
        <w:rPr>
          <w:rFonts w:ascii="Times New Roman" w:hAnsi="Times New Roman"/>
          <w:sz w:val="28"/>
          <w:szCs w:val="28"/>
        </w:rPr>
        <w:t>Залуженского сельского поселения Лискинского</w:t>
      </w:r>
      <w:r w:rsidRPr="00D46FE5">
        <w:rPr>
          <w:rFonts w:ascii="Times New Roman" w:hAnsi="Times New Roman"/>
          <w:sz w:val="28"/>
          <w:szCs w:val="28"/>
        </w:rPr>
        <w:t xml:space="preserve"> муниципального района (городского округа)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5A1FAE">
        <w:rPr>
          <w:sz w:val="28"/>
          <w:szCs w:val="28"/>
        </w:rPr>
        <w:t xml:space="preserve">раздела «Муниципальные услуги» </w:t>
      </w:r>
      <w:r w:rsidRPr="009257F5">
        <w:rPr>
          <w:sz w:val="28"/>
          <w:szCs w:val="28"/>
        </w:rPr>
        <w:t xml:space="preserve">по адресу </w:t>
      </w:r>
      <w:r w:rsidR="005A1FAE" w:rsidRPr="00854EF6">
        <w:rPr>
          <w:sz w:val="28"/>
          <w:szCs w:val="28"/>
        </w:rPr>
        <w:t>(</w:t>
      </w:r>
      <w:hyperlink r:id="rId11" w:history="1">
        <w:r w:rsidR="005A1FAE" w:rsidRPr="000D1DF4">
          <w:rPr>
            <w:rStyle w:val="af"/>
            <w:sz w:val="28"/>
            <w:szCs w:val="28"/>
          </w:rPr>
          <w:t>https:/</w:t>
        </w:r>
        <w:r w:rsidR="005A1FAE" w:rsidRPr="000D1DF4">
          <w:rPr>
            <w:sz w:val="28"/>
            <w:szCs w:val="28"/>
          </w:rPr>
          <w:t xml:space="preserve"> </w:t>
        </w:r>
        <w:hyperlink r:id="rId12" w:tgtFrame="_blank" w:history="1">
          <w:r w:rsidR="005A1FAE" w:rsidRPr="000D1DF4">
            <w:rPr>
              <w:rStyle w:val="af"/>
              <w:bCs/>
              <w:sz w:val="28"/>
              <w:szCs w:val="28"/>
              <w:shd w:val="clear" w:color="auto" w:fill="FFFFFF"/>
            </w:rPr>
            <w:t>zaluzhenskoe-r20.gosweb.gosuslugi.ru</w:t>
          </w:r>
        </w:hyperlink>
        <w:r w:rsidR="005A1FAE" w:rsidRPr="000D1DF4">
          <w:rPr>
            <w:rStyle w:val="af"/>
            <w:sz w:val="28"/>
            <w:szCs w:val="28"/>
          </w:rPr>
          <w:t>/</w:t>
        </w:r>
      </w:hyperlink>
      <w:r w:rsidR="005A1FAE" w:rsidRPr="000D1DF4">
        <w:rPr>
          <w:sz w:val="28"/>
          <w:szCs w:val="28"/>
        </w:rPr>
        <w:t>)</w:t>
      </w:r>
      <w:r w:rsidR="005A1FAE">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3" w:name="P146"/>
      <w:bookmarkEnd w:id="3"/>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w:t>
      </w:r>
      <w:r w:rsidRPr="00975E63">
        <w:rPr>
          <w:rFonts w:ascii="Times New Roman" w:hAnsi="Times New Roman"/>
          <w:sz w:val="28"/>
          <w:szCs w:val="28"/>
        </w:rPr>
        <w:lastRenderedPageBreak/>
        <w:t xml:space="preserve">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5A1FAE">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w:t>
      </w:r>
      <w:r w:rsidR="005A1FAE">
        <w:rPr>
          <w:rFonts w:ascii="Times New Roman" w:hAnsi="Times New Roman"/>
          <w:bCs/>
          <w:sz w:val="28"/>
          <w:szCs w:val="28"/>
        </w:rPr>
        <w:t xml:space="preserve">ыми актами  Залуженского сельского поселения Лискинского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5A1FAE">
        <w:rPr>
          <w:rFonts w:ascii="Times New Roman" w:hAnsi="Times New Roman" w:cs="Times New Roman"/>
          <w:sz w:val="28"/>
          <w:szCs w:val="28"/>
        </w:rPr>
        <w:t>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0F1EE2">
        <w:rPr>
          <w:rFonts w:ascii="Times New Roman" w:hAnsi="Times New Roman"/>
          <w:sz w:val="28"/>
          <w:szCs w:val="28"/>
        </w:rPr>
        <w:t>Залуженского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0F1EE2">
        <w:rPr>
          <w:rFonts w:ascii="Times New Roman" w:hAnsi="Times New Roman"/>
          <w:sz w:val="28"/>
          <w:szCs w:val="28"/>
        </w:rPr>
        <w:t>Залуженского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0F1EE2">
        <w:rPr>
          <w:rFonts w:ascii="Times New Roman" w:eastAsiaTheme="minorHAnsi" w:hAnsi="Times New Roman"/>
          <w:sz w:val="28"/>
          <w:szCs w:val="28"/>
          <w:lang w:eastAsia="en-US"/>
        </w:rPr>
        <w:t>Залуженского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0F1EE2">
        <w:rPr>
          <w:rFonts w:ascii="Times New Roman" w:eastAsiaTheme="minorHAnsi" w:hAnsi="Times New Roman"/>
          <w:sz w:val="28"/>
          <w:szCs w:val="28"/>
          <w:lang w:eastAsia="en-US"/>
        </w:rPr>
        <w:t>Залуженского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0"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5A1FAE">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2"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3"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5A1FAE">
        <w:rPr>
          <w:rFonts w:ascii="Times New Roman" w:hAnsi="Times New Roman"/>
          <w:sz w:val="28"/>
          <w:szCs w:val="28"/>
        </w:rPr>
        <w:t>Залуженского сельского поселения Лискинского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1FAE">
        <w:rPr>
          <w:rFonts w:ascii="Times New Roman" w:hAnsi="Times New Roman"/>
          <w:sz w:val="28"/>
          <w:szCs w:val="28"/>
        </w:rPr>
        <w:t xml:space="preserve">Залуженского сельского  поселения Лискинского муниципального района </w:t>
      </w:r>
      <w:r w:rsidRPr="00467581">
        <w:rPr>
          <w:rFonts w:ascii="Times New Roman" w:hAnsi="Times New Roman"/>
          <w:sz w:val="28"/>
          <w:szCs w:val="28"/>
        </w:rPr>
        <w:t xml:space="preserve">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1FAE">
        <w:rPr>
          <w:sz w:val="28"/>
          <w:szCs w:val="28"/>
        </w:rPr>
        <w:t>Залуженского сельского поселения Лискинского</w:t>
      </w:r>
      <w:r w:rsidRPr="00467581">
        <w:rPr>
          <w:sz w:val="28"/>
          <w:szCs w:val="28"/>
        </w:rPr>
        <w:t xml:space="preserve"> муниципал</w:t>
      </w:r>
      <w:r w:rsidR="005A1FAE">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5" w:name="p39"/>
      <w:bookmarkEnd w:id="5"/>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6" w:name="p43"/>
      <w:bookmarkEnd w:id="6"/>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5A1FAE">
      <w:pPr>
        <w:tabs>
          <w:tab w:val="left" w:pos="0"/>
        </w:tabs>
        <w:ind w:firstLine="0"/>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w:t>
            </w:r>
            <w:r w:rsidRPr="001B0981">
              <w:rPr>
                <w:rFonts w:ascii="Times New Roman" w:hAnsi="Times New Roman"/>
                <w:sz w:val="28"/>
                <w:szCs w:val="28"/>
              </w:rPr>
              <w:lastRenderedPageBreak/>
              <w:t xml:space="preserve">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lastRenderedPageBreak/>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 xml:space="preserve">За предоставлением Муниципальной услуги </w:t>
            </w:r>
            <w:r w:rsidRPr="009F1D43">
              <w:rPr>
                <w:rFonts w:ascii="Times New Roman" w:hAnsi="Times New Roman"/>
                <w:sz w:val="28"/>
                <w:szCs w:val="28"/>
              </w:rPr>
              <w:lastRenderedPageBreak/>
              <w:t>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3"/>
      <w:footerReference w:type="default" r:id="rId34"/>
      <w:footerReference w:type="first" r:id="rId3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F9" w:rsidRDefault="00576AF9" w:rsidP="009476CE">
      <w:r>
        <w:separator/>
      </w:r>
    </w:p>
  </w:endnote>
  <w:endnote w:type="continuationSeparator" w:id="0">
    <w:p w:rsidR="00576AF9" w:rsidRDefault="00576AF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0D1DF4" w:rsidRDefault="000D1DF4">
        <w:pPr>
          <w:pStyle w:val="ab"/>
          <w:jc w:val="center"/>
        </w:pPr>
        <w:r>
          <w:fldChar w:fldCharType="begin"/>
        </w:r>
        <w:r>
          <w:instrText>PAGE   \* MERGEFORMAT</w:instrText>
        </w:r>
        <w:r>
          <w:fldChar w:fldCharType="separate"/>
        </w:r>
        <w:r w:rsidR="00E31ABA">
          <w:rPr>
            <w:noProof/>
          </w:rPr>
          <w:t>3</w:t>
        </w:r>
        <w:r>
          <w:fldChar w:fldCharType="end"/>
        </w:r>
      </w:p>
    </w:sdtContent>
  </w:sdt>
  <w:p w:rsidR="000D1DF4" w:rsidRDefault="000D1DF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0D1DF4" w:rsidRDefault="000D1DF4">
        <w:pPr>
          <w:pStyle w:val="ab"/>
          <w:jc w:val="center"/>
        </w:pPr>
        <w:r>
          <w:fldChar w:fldCharType="begin"/>
        </w:r>
        <w:r>
          <w:instrText>PAGE   \* MERGEFORMAT</w:instrText>
        </w:r>
        <w:r>
          <w:fldChar w:fldCharType="separate"/>
        </w:r>
        <w:r w:rsidR="00E31ABA">
          <w:rPr>
            <w:noProof/>
          </w:rPr>
          <w:t>1</w:t>
        </w:r>
        <w:r>
          <w:fldChar w:fldCharType="end"/>
        </w:r>
      </w:p>
    </w:sdtContent>
  </w:sdt>
  <w:p w:rsidR="000D1DF4" w:rsidRDefault="000D1DF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F9" w:rsidRDefault="00576AF9" w:rsidP="009476CE">
      <w:r>
        <w:separator/>
      </w:r>
    </w:p>
  </w:footnote>
  <w:footnote w:type="continuationSeparator" w:id="0">
    <w:p w:rsidR="00576AF9" w:rsidRDefault="00576AF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0D1DF4" w:rsidRDefault="000D1DF4">
        <w:pPr>
          <w:pStyle w:val="a9"/>
          <w:jc w:val="center"/>
        </w:pPr>
        <w:r>
          <w:fldChar w:fldCharType="begin"/>
        </w:r>
        <w:r>
          <w:instrText>PAGE   \* MERGEFORMAT</w:instrText>
        </w:r>
        <w:r>
          <w:fldChar w:fldCharType="separate"/>
        </w:r>
        <w:r w:rsidR="00E31ABA">
          <w:rPr>
            <w:noProof/>
          </w:rPr>
          <w:t>3</w:t>
        </w:r>
        <w:r>
          <w:fldChar w:fldCharType="end"/>
        </w:r>
      </w:p>
    </w:sdtContent>
  </w:sdt>
  <w:p w:rsidR="000D1DF4" w:rsidRDefault="000D1DF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DF4"/>
    <w:rsid w:val="000D2663"/>
    <w:rsid w:val="000D2B1A"/>
    <w:rsid w:val="000D3175"/>
    <w:rsid w:val="000D7B11"/>
    <w:rsid w:val="000E072B"/>
    <w:rsid w:val="000E2FED"/>
    <w:rsid w:val="000E491F"/>
    <w:rsid w:val="000F1EE2"/>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97795"/>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B35"/>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76AF9"/>
    <w:rsid w:val="00582FEE"/>
    <w:rsid w:val="0058441E"/>
    <w:rsid w:val="005868F4"/>
    <w:rsid w:val="00591728"/>
    <w:rsid w:val="00593C41"/>
    <w:rsid w:val="00593D40"/>
    <w:rsid w:val="005942A3"/>
    <w:rsid w:val="00594BF4"/>
    <w:rsid w:val="00597DED"/>
    <w:rsid w:val="005A1321"/>
    <w:rsid w:val="005A1FAE"/>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B6D3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032"/>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1ABA"/>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2B9"/>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048"/>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FC2D"/>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luzhen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yavin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1524-1261-4529-966F-BE3E2C35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17751</Words>
  <Characters>101187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cp:revision>
  <cp:lastPrinted>2023-06-18T09:43:00Z</cp:lastPrinted>
  <dcterms:created xsi:type="dcterms:W3CDTF">2023-07-24T15:02:00Z</dcterms:created>
  <dcterms:modified xsi:type="dcterms:W3CDTF">2023-11-28T12:42:00Z</dcterms:modified>
</cp:coreProperties>
</file>