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ПРОЕКТ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АДМИНИСТРАЦИЯ</w:t>
      </w:r>
    </w:p>
    <w:p w:rsidR="00467404" w:rsidRPr="00B2351F" w:rsidRDefault="00BC6EEE" w:rsidP="004674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ЗАЛУЖЕНСКОГО</w:t>
      </w:r>
      <w:r w:rsidR="00467404" w:rsidRPr="00B2351F">
        <w:rPr>
          <w:b/>
          <w:szCs w:val="28"/>
        </w:rPr>
        <w:t xml:space="preserve"> СЕЛЬСКОГО  ПОСЕЛЕНИЯ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ЛИСКИНСКОГО  МУНИЦИПАЛЬНОГО  РАЙОНА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ВОРОНЕЖСКОЙ  ОБЛАСТИ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_____________________________________________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bCs/>
          <w:szCs w:val="28"/>
        </w:rPr>
      </w:pPr>
      <w:r w:rsidRPr="00B2351F">
        <w:rPr>
          <w:b/>
          <w:bCs/>
          <w:szCs w:val="28"/>
        </w:rPr>
        <w:t>ПОСТАНОВЛЕНИЕ</w:t>
      </w:r>
    </w:p>
    <w:p w:rsidR="00467404" w:rsidRPr="00B2351F" w:rsidRDefault="00467404" w:rsidP="00467404">
      <w:pPr>
        <w:pStyle w:val="af1"/>
        <w:jc w:val="center"/>
        <w:rPr>
          <w:b/>
          <w:bCs/>
          <w:spacing w:val="-4"/>
          <w:szCs w:val="28"/>
          <w:u w:val="single"/>
          <w:lang w:eastAsia="ar-SA"/>
        </w:rPr>
      </w:pPr>
      <w:r w:rsidRPr="00B2351F">
        <w:rPr>
          <w:b/>
          <w:spacing w:val="-4"/>
          <w:szCs w:val="28"/>
          <w:u w:val="single"/>
          <w:lang w:eastAsia="ar-SA"/>
        </w:rPr>
        <w:t xml:space="preserve">от                        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20      г.</w:t>
      </w:r>
      <w:r w:rsidRPr="00B2351F">
        <w:rPr>
          <w:b/>
          <w:bCs/>
          <w:spacing w:val="-4"/>
          <w:szCs w:val="28"/>
          <w:lang w:eastAsia="ar-SA"/>
        </w:rPr>
        <w:t xml:space="preserve">     </w:t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  <w:t xml:space="preserve">           № 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___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467404" w:rsidRPr="00B2351F" w:rsidTr="00487B00">
        <w:trPr>
          <w:trHeight w:val="218"/>
        </w:trPr>
        <w:tc>
          <w:tcPr>
            <w:tcW w:w="6400" w:type="dxa"/>
          </w:tcPr>
          <w:p w:rsidR="00467404" w:rsidRPr="00B2351F" w:rsidRDefault="00BC6EEE" w:rsidP="00487B00">
            <w:pPr>
              <w:pStyle w:val="af1"/>
              <w:ind w:right="-2884"/>
              <w:jc w:val="center"/>
              <w:rPr>
                <w:szCs w:val="28"/>
              </w:rPr>
            </w:pPr>
            <w:r>
              <w:rPr>
                <w:szCs w:val="28"/>
              </w:rPr>
              <w:t>с. Залужное</w:t>
            </w:r>
          </w:p>
        </w:tc>
        <w:tc>
          <w:tcPr>
            <w:tcW w:w="3936" w:type="dxa"/>
          </w:tcPr>
          <w:p w:rsidR="00467404" w:rsidRPr="00B2351F" w:rsidRDefault="00467404" w:rsidP="00487B00">
            <w:pPr>
              <w:pStyle w:val="af1"/>
              <w:jc w:val="center"/>
              <w:rPr>
                <w:szCs w:val="28"/>
                <w:lang w:eastAsia="ar-SA"/>
              </w:rPr>
            </w:pPr>
          </w:p>
        </w:tc>
      </w:tr>
    </w:tbl>
    <w:p w:rsidR="00467404" w:rsidRPr="00B2351F" w:rsidRDefault="00467404" w:rsidP="00467404">
      <w:pPr>
        <w:rPr>
          <w:spacing w:val="7"/>
          <w:sz w:val="28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BC6EEE">
        <w:rPr>
          <w:rFonts w:cs="Times New Roman"/>
          <w:b/>
          <w:spacing w:val="7"/>
          <w:szCs w:val="28"/>
        </w:rPr>
        <w:t>Залуженского</w:t>
      </w:r>
      <w:r w:rsidRPr="00467404">
        <w:rPr>
          <w:rFonts w:cs="Times New Roman"/>
          <w:b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C6EEE">
        <w:rPr>
          <w:rFonts w:cs="Times New Roman"/>
          <w:spacing w:val="7"/>
          <w:szCs w:val="28"/>
        </w:rPr>
        <w:t>Залуженского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BC6EEE">
        <w:rPr>
          <w:rFonts w:cs="Times New Roman"/>
          <w:spacing w:val="7"/>
          <w:szCs w:val="28"/>
        </w:rPr>
        <w:t>Залуженского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 </w:t>
      </w:r>
      <w:r w:rsidRPr="00467404">
        <w:rPr>
          <w:rFonts w:cs="Times New Roman"/>
          <w:b/>
          <w:spacing w:val="7"/>
          <w:szCs w:val="28"/>
        </w:rPr>
        <w:t>п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1. Утвердить административный регламент по предоставлению Муниципальной услуги «</w:t>
      </w:r>
      <w:r w:rsidRPr="00F366BC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szCs w:val="28"/>
        </w:rPr>
        <w:t xml:space="preserve">» на территории </w:t>
      </w:r>
      <w:r w:rsidR="00BC6EEE">
        <w:rPr>
          <w:rFonts w:cs="Times New Roman"/>
          <w:spacing w:val="7"/>
          <w:szCs w:val="28"/>
        </w:rPr>
        <w:t>Залуженского</w:t>
      </w:r>
      <w:r w:rsidRPr="00467404">
        <w:rPr>
          <w:rFonts w:cs="Times New Roman"/>
          <w:spacing w:val="7"/>
          <w:szCs w:val="28"/>
        </w:rPr>
        <w:t xml:space="preserve"> </w:t>
      </w:r>
      <w:r w:rsidRPr="00467404">
        <w:rPr>
          <w:rFonts w:cs="Times New Roman"/>
          <w:spacing w:val="7"/>
          <w:szCs w:val="28"/>
        </w:rPr>
        <w:lastRenderedPageBreak/>
        <w:t>сельского поселения Лискинского муниципального района Воронежской области</w:t>
      </w:r>
      <w:r w:rsidR="00B5205D">
        <w:rPr>
          <w:rFonts w:cs="Times New Roman"/>
          <w:spacing w:val="7"/>
          <w:szCs w:val="28"/>
        </w:rPr>
        <w:t>»</w:t>
      </w:r>
      <w:r w:rsidRPr="00467404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2. Настоящее постановление вступает силу со дня его официального опубликования. </w:t>
      </w: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3. Контроль за исполнением настоящего постановления оставляю за собой.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467404" w:rsidRPr="00467404" w:rsidTr="00487B00">
        <w:tc>
          <w:tcPr>
            <w:tcW w:w="3284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</w:tr>
    </w:tbl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Глава </w:t>
      </w:r>
      <w:r w:rsidR="00BC6EEE">
        <w:rPr>
          <w:rFonts w:cs="Times New Roman"/>
          <w:szCs w:val="28"/>
        </w:rPr>
        <w:t>Залуженского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="00BC6EEE">
        <w:rPr>
          <w:rFonts w:cs="Times New Roman"/>
          <w:szCs w:val="28"/>
        </w:rPr>
        <w:t>И.И. Блинова</w:t>
      </w: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6888480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szCs w:val="28"/>
                              </w:rPr>
                            </w:pPr>
                            <w:r w:rsidRPr="002D1A09">
                              <w:t>Приложение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Cs w:val="28"/>
                              </w:rPr>
                            </w:pPr>
                            <w:r w:rsidRPr="002D1A09">
                              <w:rPr>
                                <w:rStyle w:val="20"/>
                                <w:color w:val="000000"/>
                                <w:szCs w:val="28"/>
                              </w:rPr>
                              <w:t>УТВЕРЖДЕНО</w:t>
                            </w:r>
                            <w:r w:rsidRPr="002D1A09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2D1A09">
                              <w:rPr>
                                <w:rStyle w:val="20"/>
                                <w:color w:val="000000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Селявинского сельского поселения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Лискинского муниципального района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b/>
                                <w:szCs w:val="28"/>
                              </w:rPr>
                            </w:pPr>
                            <w:r w:rsidRPr="002D1A09">
                              <w:t>Воронежской области</w:t>
                            </w:r>
                          </w:p>
                          <w:p w:rsidR="00467404" w:rsidRPr="002D1A09" w:rsidRDefault="00467404" w:rsidP="00467404">
                            <w:pPr>
                              <w:pStyle w:val="af1"/>
                              <w:jc w:val="center"/>
                            </w:pPr>
                            <w:r w:rsidRPr="002D1A09">
                              <w:t>от _____________ № ____</w:t>
                            </w:r>
                            <w:r w:rsidRPr="002D1A09">
                              <w:br/>
                            </w: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Pr="008F3661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5pt;margin-top:542.4pt;width:285.1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yzKQbOAAAAANAQAADwAAAAAAAAAAAAAAAAAmBQAAZHJzL2Rvd25y&#10;ZXYueG1sUEsFBgAAAAAEAAQA8wAAADMGAAAAAA==&#10;" filled="f" stroked="f">
                <v:textbox>
                  <w:txbxContent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szCs w:val="28"/>
                        </w:rPr>
                      </w:pPr>
                      <w:r w:rsidRPr="002D1A09">
                        <w:t>Приложение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color w:val="000000"/>
                          <w:szCs w:val="28"/>
                        </w:rPr>
                      </w:pPr>
                      <w:r w:rsidRPr="002D1A09">
                        <w:rPr>
                          <w:rStyle w:val="20"/>
                          <w:color w:val="000000"/>
                          <w:szCs w:val="28"/>
                        </w:rPr>
                        <w:t>УТВЕРЖДЕНО</w:t>
                      </w:r>
                      <w:r w:rsidRPr="002D1A09">
                        <w:rPr>
                          <w:b/>
                          <w:color w:val="000000"/>
                        </w:rPr>
                        <w:br/>
                      </w:r>
                      <w:r w:rsidRPr="002D1A09">
                        <w:rPr>
                          <w:rStyle w:val="20"/>
                          <w:color w:val="000000"/>
                          <w:szCs w:val="28"/>
                        </w:rPr>
                        <w:t>постановлением администрации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Селявинского сельского поселения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Лискинского муниципального района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b/>
                          <w:szCs w:val="28"/>
                        </w:rPr>
                      </w:pPr>
                      <w:r w:rsidRPr="002D1A09">
                        <w:t>Воронежской области</w:t>
                      </w:r>
                    </w:p>
                    <w:p w:rsidR="00467404" w:rsidRPr="002D1A09" w:rsidRDefault="00467404" w:rsidP="00467404">
                      <w:pPr>
                        <w:pStyle w:val="af1"/>
                        <w:jc w:val="center"/>
                      </w:pPr>
                      <w:r w:rsidRPr="002D1A09">
                        <w:t>от _____________ № ____</w:t>
                      </w:r>
                      <w:r w:rsidRPr="002D1A09">
                        <w:br/>
                      </w: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Pr="008F3661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DED6D" wp14:editId="2DBA5E2B">
                <wp:simplePos x="0" y="0"/>
                <wp:positionH relativeFrom="column">
                  <wp:posOffset>2614295</wp:posOffset>
                </wp:positionH>
                <wp:positionV relativeFrom="paragraph">
                  <wp:posOffset>64135</wp:posOffset>
                </wp:positionV>
                <wp:extent cx="3754755" cy="1600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Приложение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467404">
                              <w:rPr>
                                <w:rFonts w:cs="Times New Roman"/>
                                <w:color w:val="000000"/>
                                <w:szCs w:val="28"/>
                              </w:rPr>
                              <w:br/>
                            </w: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467404" w:rsidRPr="00467404" w:rsidRDefault="00BC6EEE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Залуженского</w:t>
                            </w:r>
                            <w:bookmarkStart w:id="0" w:name="_GoBack"/>
                            <w:bookmarkEnd w:id="0"/>
                            <w:r w:rsidR="00467404" w:rsidRPr="00467404">
                              <w:rPr>
                                <w:rFonts w:cs="Times New Roman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467404" w:rsidRPr="00467404" w:rsidRDefault="00467404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от _____________ № ____</w:t>
                            </w: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br/>
                            </w: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Default="00467404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467404" w:rsidRPr="008F3661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  <w:p w:rsidR="00467404" w:rsidRDefault="00467404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DED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205.85pt;margin-top:5.05pt;width:295.6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V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" filled="f" stroked="f">
                <v:textbox>
                  <w:txbxContent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Приложение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467404">
                        <w:rPr>
                          <w:rFonts w:cs="Times New Roman"/>
                          <w:color w:val="000000"/>
                          <w:szCs w:val="28"/>
                        </w:rPr>
                        <w:br/>
                      </w: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467404" w:rsidRPr="00467404" w:rsidRDefault="00BC6EEE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Залуженского</w:t>
                      </w:r>
                      <w:bookmarkStart w:id="1" w:name="_GoBack"/>
                      <w:bookmarkEnd w:id="1"/>
                      <w:r w:rsidR="00467404" w:rsidRPr="00467404">
                        <w:rPr>
                          <w:rFonts w:cs="Times New Roman"/>
                          <w:szCs w:val="28"/>
                        </w:rPr>
                        <w:t xml:space="preserve"> сельского поселения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Лискинского муниципального района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Воронежской области</w:t>
                      </w:r>
                    </w:p>
                    <w:p w:rsidR="00467404" w:rsidRPr="00467404" w:rsidRDefault="00467404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от _____________ № ____</w:t>
                      </w:r>
                      <w:r w:rsidRPr="00467404">
                        <w:rPr>
                          <w:rFonts w:cs="Times New Roman"/>
                          <w:szCs w:val="28"/>
                        </w:rPr>
                        <w:br/>
                      </w: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Default="00467404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467404" w:rsidRPr="008F3661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467404" w:rsidRDefault="00467404" w:rsidP="00467404">
                      <w:pPr>
                        <w:jc w:val="center"/>
                      </w:pPr>
                    </w:p>
                    <w:p w:rsidR="00467404" w:rsidRDefault="00467404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BC6EEE">
        <w:rPr>
          <w:rFonts w:ascii="Times New Roman" w:hAnsi="Times New Roman"/>
          <w:b/>
          <w:spacing w:val="7"/>
          <w:sz w:val="28"/>
          <w:szCs w:val="28"/>
        </w:rPr>
        <w:t>Залуженского</w:t>
      </w:r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1.1.</w:t>
      </w:r>
      <w:r w:rsidR="0017055C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</w:t>
      </w:r>
      <w:r w:rsidR="003F6BCD" w:rsidRPr="00F366BC">
        <w:rPr>
          <w:rFonts w:ascii="Times New Roman" w:hAnsi="Times New Roman" w:cs="Times New Roman"/>
          <w:sz w:val="28"/>
          <w:szCs w:val="28"/>
        </w:rPr>
        <w:lastRenderedPageBreak/>
        <w:t>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="009E1C26" w:rsidRPr="00F366BC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="0024618B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F366BC">
        <w:rPr>
          <w:rFonts w:ascii="Times New Roman" w:hAnsi="Times New Roman" w:cs="Times New Roman"/>
          <w:sz w:val="28"/>
          <w:szCs w:val="28"/>
          <w:highlight w:val="yellow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>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2" w:name="P147"/>
      <w:bookmarkEnd w:id="2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lastRenderedPageBreak/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sz w:val="28"/>
          <w:szCs w:val="28"/>
        </w:rPr>
        <w:t xml:space="preserve"> 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lastRenderedPageBreak/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3" w:name="P212"/>
      <w:bookmarkEnd w:id="3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219"/>
      <w:bookmarkEnd w:id="4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Порядок, размер и основания взимания платы за предоставление услуг, </w:t>
      </w:r>
      <w:r w:rsidRPr="00F366BC">
        <w:rPr>
          <w:rFonts w:ascii="Times New Roman" w:hAnsi="Times New Roman"/>
          <w:sz w:val="28"/>
          <w:szCs w:val="28"/>
        </w:rPr>
        <w:lastRenderedPageBreak/>
        <w:t>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275FB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</w:t>
      </w:r>
      <w:r w:rsidRPr="00BD5D8D">
        <w:rPr>
          <w:rFonts w:ascii="Times New Roman" w:hAnsi="Times New Roman"/>
          <w:sz w:val="28"/>
          <w:szCs w:val="28"/>
        </w:rPr>
        <w:lastRenderedPageBreak/>
        <w:t>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F366BC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</w:t>
      </w:r>
      <w:r w:rsidRPr="00F366BC">
        <w:rPr>
          <w:rFonts w:ascii="Times New Roman" w:hAnsi="Times New Roman"/>
          <w:sz w:val="28"/>
          <w:szCs w:val="28"/>
        </w:rPr>
        <w:lastRenderedPageBreak/>
        <w:t>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5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5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F366BC">
        <w:rPr>
          <w:rFonts w:ascii="Times New Roman" w:hAnsi="Times New Roman"/>
          <w:sz w:val="28"/>
          <w:szCs w:val="28"/>
        </w:rPr>
        <w:lastRenderedPageBreak/>
        <w:t>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 xml:space="preserve">о признании помещения жилым помещением, </w:t>
      </w:r>
      <w:r w:rsidR="006033B5" w:rsidRPr="006033B5">
        <w:rPr>
          <w:rFonts w:ascii="Times New Roman" w:hAnsi="Times New Roman"/>
          <w:sz w:val="28"/>
          <w:szCs w:val="28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B716E0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, руководитель структурного подразделения уполномоченного органа передает (направляет в </w:t>
      </w:r>
      <w:r w:rsidRPr="00F366BC">
        <w:rPr>
          <w:rFonts w:ascii="Times New Roman" w:hAnsi="Times New Roman"/>
          <w:sz w:val="28"/>
          <w:szCs w:val="28"/>
        </w:rPr>
        <w:lastRenderedPageBreak/>
        <w:t>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F26BAF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F26BAF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D335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</w:t>
      </w:r>
      <w:r w:rsidR="00DA3CEB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222D7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</w:t>
      </w:r>
      <w:r w:rsidR="002222D7" w:rsidRPr="00F366BC">
        <w:rPr>
          <w:rFonts w:ascii="Times New Roman" w:hAnsi="Times New Roman"/>
          <w:sz w:val="28"/>
          <w:szCs w:val="28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(при наличии технической возможности), формирует и направляет заявителю электронное уведомление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A106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заявитель предъявляет следующие документы: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</w:t>
      </w:r>
      <w:r w:rsidR="003768DA" w:rsidRPr="00F366BC">
        <w:rPr>
          <w:rFonts w:ascii="Times New Roman" w:hAnsi="Times New Roman"/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при указании в запросе о получении результата на бумажном носителе.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2) проверяет правомочия заявителя действовать от его имени при получении </w:t>
      </w:r>
      <w:r w:rsidRPr="00F366BC">
        <w:rPr>
          <w:rFonts w:ascii="Times New Roman" w:hAnsi="Times New Roman"/>
          <w:sz w:val="28"/>
          <w:szCs w:val="28"/>
        </w:rPr>
        <w:lastRenderedPageBreak/>
        <w:t>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</w:t>
      </w:r>
      <w:r w:rsidR="00E90F96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</w:t>
      </w:r>
      <w:r w:rsidR="00E90F96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найма сканируется и направляется заявителю через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либо направляется в форме электронного документа, подписанного электронной подписью в личный кабинет заявителя на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(при наличии технической возможности). Оригинал решения заявитель вправе забрать в уполномоченном органе.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</w:t>
      </w:r>
      <w:r w:rsidRPr="00F366BC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F358A3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</w:t>
      </w:r>
      <w:r w:rsidRPr="00F366B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F366BC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F366BC">
        <w:rPr>
          <w:rFonts w:ascii="Times New Roman" w:hAnsi="Times New Roman"/>
          <w:sz w:val="28"/>
          <w:szCs w:val="28"/>
          <w:highlight w:val="yellow"/>
          <w:lang w:eastAsia="en-US"/>
        </w:rPr>
        <w:t>ЕПГУ</w:t>
      </w:r>
      <w:r w:rsidRPr="00F366BC">
        <w:rPr>
          <w:rFonts w:ascii="Times New Roman" w:hAnsi="Times New Roman"/>
          <w:sz w:val="28"/>
          <w:szCs w:val="28"/>
          <w:lang w:eastAsia="en-US"/>
        </w:rPr>
        <w:t>, РПГУ.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F366BC">
        <w:rPr>
          <w:rFonts w:ascii="Times New Roman" w:hAnsi="Times New Roman"/>
          <w:sz w:val="28"/>
          <w:szCs w:val="28"/>
          <w:highlight w:val="yellow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</w:t>
      </w:r>
      <w:r w:rsidRPr="004D60C8">
        <w:rPr>
          <w:rFonts w:ascii="Times New Roman" w:hAnsi="Times New Roman"/>
          <w:sz w:val="28"/>
          <w:szCs w:val="28"/>
        </w:rPr>
        <w:lastRenderedPageBreak/>
        <w:t>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подписывается </w:t>
      </w:r>
      <w:r w:rsidRPr="00F366BC">
        <w:rPr>
          <w:rFonts w:ascii="Times New Roman" w:hAnsi="Times New Roman"/>
          <w:sz w:val="28"/>
          <w:szCs w:val="28"/>
        </w:rPr>
        <w:lastRenderedPageBreak/>
        <w:t>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</w:t>
      </w:r>
      <w:r w:rsidRPr="008435FB">
        <w:rPr>
          <w:rFonts w:ascii="Times New Roman" w:hAnsi="Times New Roman"/>
          <w:sz w:val="28"/>
          <w:szCs w:val="28"/>
        </w:rPr>
        <w:lastRenderedPageBreak/>
        <w:t xml:space="preserve">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0A1AFC" w:rsidRPr="00F36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OLE_LINK98"/>
      <w:bookmarkStart w:id="7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6"/>
    <w:bookmarkEnd w:id="7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здания,   оборудования   и   механизмов   и   прилегающей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</w:t>
      </w:r>
      <w:r w:rsidR="00C83DF4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FF" w:rsidRDefault="00AB58FF" w:rsidP="008E6096">
      <w:pPr>
        <w:spacing w:after="0" w:line="240" w:lineRule="auto"/>
      </w:pPr>
      <w:r>
        <w:separator/>
      </w:r>
    </w:p>
  </w:endnote>
  <w:endnote w:type="continuationSeparator" w:id="0">
    <w:p w:rsidR="00AB58FF" w:rsidRDefault="00AB58FF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FF" w:rsidRDefault="00AB58FF" w:rsidP="008E6096">
      <w:pPr>
        <w:spacing w:after="0" w:line="240" w:lineRule="auto"/>
      </w:pPr>
      <w:r>
        <w:separator/>
      </w:r>
    </w:p>
  </w:footnote>
  <w:footnote w:type="continuationSeparator" w:id="0">
    <w:p w:rsidR="00AB58FF" w:rsidRDefault="00AB58FF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 w15:restartNumberingAfterBreak="0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 w15:restartNumberingAfterBreak="0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 w15:restartNumberingAfterBreak="0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A7CA8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58FF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6EEE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68D6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67EB"/>
  <w15:docId w15:val="{01E93A88-F5C2-49F1-B666-8364FD8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418A-B6D2-4AF4-90A9-4386872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15221</Words>
  <Characters>86766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4</cp:revision>
  <cp:lastPrinted>2020-10-05T06:58:00Z</cp:lastPrinted>
  <dcterms:created xsi:type="dcterms:W3CDTF">2023-10-24T11:36:00Z</dcterms:created>
  <dcterms:modified xsi:type="dcterms:W3CDTF">2023-10-25T07:35:00Z</dcterms:modified>
</cp:coreProperties>
</file>