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041800" w:rsidRPr="00041800" w:rsidSect="000418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1800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041800"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</w:t>
      </w:r>
    </w:p>
    <w:p w:rsidR="00041800" w:rsidRPr="00041800" w:rsidRDefault="00041800" w:rsidP="00041800">
      <w:pPr>
        <w:spacing w:after="0" w:line="240" w:lineRule="auto"/>
        <w:ind w:left="9000"/>
        <w:rPr>
          <w:rFonts w:ascii="Times New Roman" w:eastAsia="Calibri" w:hAnsi="Times New Roman"/>
          <w:sz w:val="20"/>
          <w:szCs w:val="20"/>
          <w:lang w:eastAsia="en-US"/>
        </w:rPr>
      </w:pPr>
      <w:r w:rsidRPr="00041800">
        <w:rPr>
          <w:rFonts w:ascii="Times New Roman" w:eastAsia="Calibri" w:hAnsi="Times New Roman"/>
          <w:sz w:val="20"/>
          <w:szCs w:val="20"/>
          <w:lang w:eastAsia="en-US"/>
        </w:rPr>
        <w:t>к распоряжен</w:t>
      </w:r>
      <w:r w:rsidR="00E47507">
        <w:rPr>
          <w:rFonts w:ascii="Times New Roman" w:eastAsia="Calibri" w:hAnsi="Times New Roman"/>
          <w:sz w:val="20"/>
          <w:szCs w:val="20"/>
          <w:lang w:eastAsia="en-US"/>
        </w:rPr>
        <w:t xml:space="preserve">ию  администрации </w:t>
      </w:r>
      <w:proofErr w:type="spellStart"/>
      <w:r w:rsidR="00E47507">
        <w:rPr>
          <w:rFonts w:ascii="Times New Roman" w:eastAsia="Calibri" w:hAnsi="Times New Roman"/>
          <w:sz w:val="20"/>
          <w:szCs w:val="20"/>
          <w:lang w:eastAsia="en-US"/>
        </w:rPr>
        <w:t>Залуженского</w:t>
      </w:r>
      <w:proofErr w:type="spellEnd"/>
      <w:r w:rsidRPr="00041800">
        <w:rPr>
          <w:rFonts w:ascii="Times New Roman" w:eastAsia="Calibri" w:hAnsi="Times New Roman"/>
          <w:sz w:val="20"/>
          <w:szCs w:val="20"/>
          <w:lang w:eastAsia="en-US"/>
        </w:rPr>
        <w:t xml:space="preserve"> сельского пос</w:t>
      </w:r>
      <w:r w:rsidRPr="00041800">
        <w:rPr>
          <w:rFonts w:ascii="Times New Roman" w:eastAsia="Calibri" w:hAnsi="Times New Roman"/>
          <w:sz w:val="20"/>
          <w:szCs w:val="20"/>
          <w:lang w:eastAsia="en-US"/>
        </w:rPr>
        <w:t>е</w:t>
      </w:r>
      <w:r w:rsidRPr="00041800">
        <w:rPr>
          <w:rFonts w:ascii="Times New Roman" w:eastAsia="Calibri" w:hAnsi="Times New Roman"/>
          <w:sz w:val="20"/>
          <w:szCs w:val="20"/>
          <w:lang w:eastAsia="en-US"/>
        </w:rPr>
        <w:t xml:space="preserve">ления Лискинского муниципального района от </w:t>
      </w:r>
      <w:r w:rsidR="00E47507">
        <w:rPr>
          <w:rFonts w:ascii="Times New Roman" w:eastAsia="Calibri" w:hAnsi="Times New Roman"/>
          <w:sz w:val="20"/>
          <w:szCs w:val="20"/>
          <w:lang w:eastAsia="en-US"/>
        </w:rPr>
        <w:t xml:space="preserve"> 28.07.2017 г. № 27</w:t>
      </w: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41800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41800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«Предварительное согласование предоставления земельного участка, находящегося в </w:t>
      </w:r>
      <w:proofErr w:type="gramStart"/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proofErr w:type="gramEnd"/>
      <w:r w:rsidRPr="000418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41800" w:rsidRPr="00041800" w:rsidRDefault="00E47507" w:rsidP="0004180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собственности</w:t>
      </w:r>
      <w:r w:rsidR="00041800" w:rsidRPr="00041800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41800" w:rsidRPr="00041800" w:rsidRDefault="00041800" w:rsidP="0004180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41800" w:rsidRDefault="0004180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41800" w:rsidRDefault="00041800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E47507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Залуженского</w:t>
            </w:r>
            <w:proofErr w:type="spellEnd"/>
            <w:r w:rsidR="00E0704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а</w:t>
            </w:r>
            <w:r w:rsidR="00E07044" w:rsidRPr="002B2DD4">
              <w:rPr>
                <w:rFonts w:ascii="Times New Roman" w:hAnsi="Times New Roman"/>
              </w:rPr>
              <w:t>втономное учреждение Воронежской области «Многофункционал</w:t>
            </w:r>
            <w:r w:rsidR="00E07044" w:rsidRPr="002B2DD4">
              <w:rPr>
                <w:rFonts w:ascii="Times New Roman" w:hAnsi="Times New Roman"/>
              </w:rPr>
              <w:t>ь</w:t>
            </w:r>
            <w:r w:rsidR="00E07044" w:rsidRPr="002B2DD4">
              <w:rPr>
                <w:rFonts w:ascii="Times New Roman" w:hAnsi="Times New Roman"/>
              </w:rPr>
              <w:t>ный центр пр</w:t>
            </w:r>
            <w:r w:rsidR="00E07044" w:rsidRPr="002B2DD4">
              <w:rPr>
                <w:rFonts w:ascii="Times New Roman" w:hAnsi="Times New Roman"/>
              </w:rPr>
              <w:t>е</w:t>
            </w:r>
            <w:r w:rsidR="00E07044" w:rsidRPr="002B2DD4">
              <w:rPr>
                <w:rFonts w:ascii="Times New Roman" w:hAnsi="Times New Roman"/>
              </w:rPr>
              <w:t>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362CBA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62CBA">
              <w:rPr>
                <w:rFonts w:ascii="Times New Roman" w:hAnsi="Times New Roman"/>
              </w:rPr>
              <w:t>3640100010000829387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E47507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E4750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E47507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>Постановление  от 19.04.</w:t>
            </w:r>
            <w:r w:rsidR="00146C21">
              <w:rPr>
                <w:rFonts w:ascii="Times New Roman" w:hAnsi="Times New Roman"/>
              </w:rPr>
              <w:t>2016</w:t>
            </w:r>
            <w:r w:rsidR="00041800" w:rsidRPr="00041800">
              <w:rPr>
                <w:rFonts w:ascii="Times New Roman" w:hAnsi="Times New Roman"/>
              </w:rPr>
              <w:t xml:space="preserve"> г.</w:t>
            </w:r>
            <w:r w:rsidR="00146C21">
              <w:rPr>
                <w:rFonts w:ascii="Times New Roman" w:hAnsi="Times New Roman"/>
              </w:rPr>
              <w:t xml:space="preserve"> № 60</w:t>
            </w:r>
            <w:r w:rsidR="00041800" w:rsidRPr="00041800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="00041800" w:rsidRPr="00041800">
              <w:rPr>
                <w:rFonts w:ascii="Times New Roman" w:hAnsi="Times New Roman"/>
              </w:rPr>
              <w:t>д</w:t>
            </w:r>
            <w:r w:rsidR="00041800" w:rsidRPr="00041800">
              <w:rPr>
                <w:rFonts w:ascii="Times New Roman" w:hAnsi="Times New Roman"/>
              </w:rPr>
              <w:t>минист</w:t>
            </w:r>
            <w:r w:rsidR="00146C21">
              <w:rPr>
                <w:rFonts w:ascii="Times New Roman" w:hAnsi="Times New Roman"/>
              </w:rPr>
              <w:t>рации Залуженского</w:t>
            </w:r>
            <w:r w:rsidR="00041800" w:rsidRPr="00041800">
              <w:rPr>
                <w:rFonts w:ascii="Times New Roman" w:hAnsi="Times New Roman"/>
              </w:rPr>
              <w:t xml:space="preserve"> сельского поселения Лискинского муниципального района Вор</w:t>
            </w:r>
            <w:r w:rsidR="00041800" w:rsidRPr="00041800">
              <w:rPr>
                <w:rFonts w:ascii="Times New Roman" w:hAnsi="Times New Roman"/>
              </w:rPr>
              <w:t>о</w:t>
            </w:r>
            <w:r w:rsidR="00041800" w:rsidRPr="00041800">
              <w:rPr>
                <w:rFonts w:ascii="Times New Roman" w:hAnsi="Times New Roman"/>
              </w:rPr>
              <w:t>нежской области по предоставлению  муниципальных услуг «Предварительное согласов</w:t>
            </w:r>
            <w:r w:rsidR="00041800" w:rsidRPr="00041800">
              <w:rPr>
                <w:rFonts w:ascii="Times New Roman" w:hAnsi="Times New Roman"/>
              </w:rPr>
              <w:t>а</w:t>
            </w:r>
            <w:r w:rsidR="00041800" w:rsidRPr="00041800">
              <w:rPr>
                <w:rFonts w:ascii="Times New Roman" w:hAnsi="Times New Roman"/>
              </w:rPr>
              <w:t>ние предоставления земельного участка, находящегося в муниципальной собственности или гос</w:t>
            </w:r>
            <w:r w:rsidR="00041800" w:rsidRPr="00041800">
              <w:rPr>
                <w:rFonts w:ascii="Times New Roman" w:hAnsi="Times New Roman"/>
              </w:rPr>
              <w:t>у</w:t>
            </w:r>
            <w:r w:rsidR="00041800" w:rsidRPr="00041800">
              <w:rPr>
                <w:rFonts w:ascii="Times New Roman" w:hAnsi="Times New Roman"/>
              </w:rPr>
              <w:t>дарс</w:t>
            </w:r>
            <w:r w:rsidR="00041800" w:rsidRPr="00041800">
              <w:rPr>
                <w:rFonts w:ascii="Times New Roman" w:hAnsi="Times New Roman"/>
              </w:rPr>
              <w:t>т</w:t>
            </w:r>
            <w:r w:rsidR="00041800" w:rsidRPr="00041800">
              <w:rPr>
                <w:rFonts w:ascii="Times New Roman" w:hAnsi="Times New Roman"/>
              </w:rPr>
              <w:t>венная собственность на который не разграничена»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04180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>- радиотелефонная связь;</w:t>
            </w:r>
          </w:p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/>
              </w:rPr>
              <w:t>;</w:t>
            </w:r>
          </w:p>
          <w:p w:rsidR="009470EC" w:rsidRPr="00D249F2" w:rsidRDefault="009470EC" w:rsidP="009470EC">
            <w:pPr>
              <w:spacing w:after="0"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</w:t>
            </w:r>
            <w:r w:rsidRPr="00D249F2">
              <w:rPr>
                <w:rFonts w:ascii="Times New Roman" w:hAnsi="Times New Roman"/>
              </w:rPr>
              <w:t>;</w:t>
            </w:r>
          </w:p>
          <w:p w:rsidR="00C647DE" w:rsidRPr="00C647DE" w:rsidRDefault="009470EC" w:rsidP="009470E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портал государственных услуг.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  <w:proofErr w:type="gramEnd"/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proofErr w:type="gramStart"/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54063"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54063"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947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>учае, если земельный участок 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  <w:r w:rsidR="009470EC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6D36F5" w:rsidRPr="00C647DE" w:rsidRDefault="009470EC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теля на здание, сооружение, если право на </w:t>
            </w:r>
            <w:r w:rsidRPr="00C647DE">
              <w:rPr>
                <w:rFonts w:ascii="Times New Roman" w:hAnsi="Times New Roman"/>
              </w:rPr>
              <w:lastRenderedPageBreak/>
              <w:t>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lastRenderedPageBreak/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9470EC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D82B66" w:rsidRPr="00C647DE" w:rsidRDefault="009470EC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9470EC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D82B66" w:rsidRPr="00C647DE" w:rsidRDefault="009470EC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C71058" w:rsidP="003B71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 xml:space="preserve">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  <w:proofErr w:type="gramEnd"/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  <w:proofErr w:type="gramEnd"/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>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  <w:proofErr w:type="gramEnd"/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041800">
        <w:tc>
          <w:tcPr>
            <w:tcW w:w="14786" w:type="dxa"/>
            <w:gridSpan w:val="7"/>
          </w:tcPr>
          <w:p w:rsidR="005B59D6" w:rsidRPr="00C647DE" w:rsidRDefault="005B59D6" w:rsidP="000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экран-ную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Pr="009470EC" w:rsidRDefault="009470EC" w:rsidP="00B80478">
      <w:pPr>
        <w:spacing w:line="240" w:lineRule="auto"/>
        <w:rPr>
          <w:rFonts w:ascii="Times New Roman" w:hAnsi="Times New Roman"/>
        </w:rPr>
      </w:pPr>
      <w:r w:rsidRPr="009470EC">
        <w:rPr>
          <w:rFonts w:ascii="Times New Roman" w:hAnsi="Times New Roman"/>
        </w:rPr>
        <w:t>Приложение 1 (форма заявления)</w:t>
      </w: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470EC" w:rsidRDefault="009470E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470EC" w:rsidRDefault="009470E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470EC" w:rsidRDefault="009470E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N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</w:p>
    <w:p w:rsid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Форма заявления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В администрацию ________________поселения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9470EC">
        <w:rPr>
          <w:rFonts w:ascii="Times New Roman" w:eastAsiaTheme="minorHAnsi" w:hAnsi="Times New Roman"/>
          <w:lang w:eastAsia="en-US"/>
        </w:rPr>
        <w:t>(наименование заявителя - юридического лица)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470EC">
        <w:rPr>
          <w:rFonts w:ascii="Times New Roman" w:eastAsiaTheme="minorHAnsi" w:hAnsi="Times New Roman"/>
          <w:lang w:eastAsia="en-US"/>
        </w:rPr>
        <w:t>(Ф.И.О. заявителя,</w:t>
      </w:r>
      <w:proofErr w:type="gramEnd"/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9470EC">
        <w:rPr>
          <w:rFonts w:ascii="Times New Roman" w:eastAsiaTheme="minorHAnsi" w:hAnsi="Times New Roman"/>
          <w:lang w:eastAsia="en-US"/>
        </w:rPr>
        <w:t>паспортные данные, место жительства)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9470EC">
        <w:rPr>
          <w:rFonts w:ascii="Times New Roman" w:eastAsiaTheme="minorHAnsi" w:hAnsi="Times New Roman"/>
          <w:lang w:eastAsia="en-US"/>
        </w:rPr>
        <w:t>(почтовый адрес и (или) адрес электронной почты)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Par523"/>
      <w:bookmarkEnd w:id="3"/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70EC">
        <w:rPr>
          <w:rFonts w:ascii="Times New Roman" w:eastAsiaTheme="minorHAnsi" w:hAnsi="Times New Roman"/>
          <w:sz w:val="26"/>
          <w:szCs w:val="26"/>
          <w:lang w:eastAsia="en-US"/>
        </w:rPr>
        <w:t>о предварительном согласовании предоставления земельного участка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_________, площадью ______ кв. м, кадастровый номер ______________________, ________________________________ _____________________________________________________________.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утверждении проекта межевания территории, если образование испрашиваемого земельн</w:t>
      </w:r>
      <w:r w:rsidRPr="009470EC">
        <w:rPr>
          <w:rFonts w:ascii="Times New Roman" w:eastAsiaTheme="minorEastAsia" w:hAnsi="Times New Roman"/>
        </w:rPr>
        <w:t>о</w:t>
      </w:r>
      <w:r w:rsidRPr="009470EC">
        <w:rPr>
          <w:rFonts w:ascii="Times New Roman" w:eastAsiaTheme="minorEastAsia" w:hAnsi="Times New Roman"/>
        </w:rPr>
        <w:t>го участка предусмотрено указанным проектом)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</w:t>
      </w:r>
      <w:r w:rsidRPr="009470EC">
        <w:rPr>
          <w:rFonts w:ascii="Times New Roman" w:eastAsiaTheme="minorEastAsia" w:hAnsi="Times New Roman"/>
          <w:sz w:val="18"/>
          <w:szCs w:val="18"/>
        </w:rPr>
        <w:t>е</w:t>
      </w:r>
      <w:r w:rsidRPr="009470EC">
        <w:rPr>
          <w:rFonts w:ascii="Times New Roman" w:eastAsiaTheme="minorEastAsia" w:hAnsi="Times New Roman"/>
          <w:sz w:val="18"/>
          <w:szCs w:val="18"/>
        </w:rPr>
        <w:t>ние земельного участка возможно на нескольких видах прав)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Цель использования земельного участка_____________________________.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Постановление о предварительном согласовании предоставления земельного участка прошу в</w:t>
      </w:r>
      <w:r w:rsidRPr="009470EC">
        <w:rPr>
          <w:rFonts w:ascii="Times New Roman" w:eastAsiaTheme="minorEastAsia" w:hAnsi="Times New Roman"/>
          <w:sz w:val="26"/>
          <w:szCs w:val="26"/>
        </w:rPr>
        <w:t>ы</w:t>
      </w:r>
      <w:r w:rsidRPr="009470EC">
        <w:rPr>
          <w:rFonts w:ascii="Times New Roman" w:eastAsiaTheme="minorEastAsia" w:hAnsi="Times New Roman"/>
          <w:sz w:val="26"/>
          <w:szCs w:val="26"/>
        </w:rPr>
        <w:t>дать мне лично (или   уполномоченному  представителю)  /  выслать  по  почте  (по  желанию заявителя).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__________________________________________________________________ 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_______________________ _______________ __________________</w:t>
      </w:r>
    </w:p>
    <w:p w:rsidR="009470EC" w:rsidRPr="009470EC" w:rsidRDefault="009470EC" w:rsidP="00947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 xml:space="preserve">      (должность)           (подпись)      (фамилия И.О.)</w:t>
      </w:r>
    </w:p>
    <w:p w:rsidR="009470EC" w:rsidRPr="009470EC" w:rsidRDefault="009470EC" w:rsidP="009470EC">
      <w:pPr>
        <w:rPr>
          <w:rFonts w:ascii="Times New Roman" w:eastAsiaTheme="minorHAnsi" w:hAnsi="Times New Roman"/>
          <w:lang w:eastAsia="en-US"/>
        </w:rPr>
      </w:pPr>
      <w:r w:rsidRPr="009470EC">
        <w:rPr>
          <w:rFonts w:ascii="Times New Roman" w:eastAsiaTheme="minorHAnsi" w:hAnsi="Times New Roman"/>
          <w:lang w:eastAsia="en-US"/>
        </w:rPr>
        <w:t xml:space="preserve">    М.П.</w:t>
      </w:r>
    </w:p>
    <w:p w:rsidR="009470EC" w:rsidRPr="005B59D6" w:rsidRDefault="009470EC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9470EC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7D" w:rsidRDefault="001F457D" w:rsidP="00F847AF">
      <w:pPr>
        <w:spacing w:after="0" w:line="240" w:lineRule="auto"/>
      </w:pPr>
      <w:r>
        <w:separator/>
      </w:r>
    </w:p>
  </w:endnote>
  <w:endnote w:type="continuationSeparator" w:id="0">
    <w:p w:rsidR="001F457D" w:rsidRDefault="001F457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7D" w:rsidRDefault="001F457D" w:rsidP="00F847AF">
      <w:pPr>
        <w:spacing w:after="0" w:line="240" w:lineRule="auto"/>
      </w:pPr>
      <w:r>
        <w:separator/>
      </w:r>
    </w:p>
  </w:footnote>
  <w:footnote w:type="continuationSeparator" w:id="0">
    <w:p w:rsidR="001F457D" w:rsidRDefault="001F457D" w:rsidP="00F847AF">
      <w:pPr>
        <w:spacing w:after="0" w:line="240" w:lineRule="auto"/>
      </w:pPr>
      <w:r>
        <w:continuationSeparator/>
      </w:r>
    </w:p>
  </w:footnote>
  <w:footnote w:id="1">
    <w:p w:rsidR="00E47507" w:rsidRDefault="00E47507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2">
    <w:p w:rsidR="00E47507" w:rsidRDefault="00E47507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3">
    <w:p w:rsidR="00E47507" w:rsidRDefault="00E47507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E47507" w:rsidRDefault="00E47507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41800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46C21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457D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2CBA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E577D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7F56C2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2F36"/>
    <w:rsid w:val="00844840"/>
    <w:rsid w:val="00845942"/>
    <w:rsid w:val="00861661"/>
    <w:rsid w:val="0086692F"/>
    <w:rsid w:val="00870394"/>
    <w:rsid w:val="00870F37"/>
    <w:rsid w:val="008728D3"/>
    <w:rsid w:val="008800DA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470EC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04B0D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1058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044"/>
    <w:rsid w:val="00E0768E"/>
    <w:rsid w:val="00E2543B"/>
    <w:rsid w:val="00E47507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3C0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8E5A-F278-42CE-A47D-8141783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7616</Words>
  <Characters>43414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50929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11</cp:revision>
  <dcterms:created xsi:type="dcterms:W3CDTF">2016-11-07T11:29:00Z</dcterms:created>
  <dcterms:modified xsi:type="dcterms:W3CDTF">2017-08-24T07:31:00Z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